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B2615">
      <w:pPr>
        <w:pStyle w:val="5"/>
        <w:widowControl/>
        <w:spacing w:beforeAutospacing="0" w:afterAutospacing="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附件1</w:t>
      </w:r>
    </w:p>
    <w:p w14:paraId="3A0424A4">
      <w:pPr>
        <w:pStyle w:val="5"/>
        <w:widowControl/>
        <w:spacing w:beforeAutospacing="0" w:afterAutospacing="0"/>
        <w:jc w:val="center"/>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2025金砖大赛国际赛之技术创新赛赛道列表</w:t>
      </w:r>
    </w:p>
    <w:tbl>
      <w:tblPr>
        <w:tblStyle w:val="7"/>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125"/>
        <w:gridCol w:w="6723"/>
      </w:tblGrid>
      <w:tr w14:paraId="4D82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vAlign w:val="center"/>
          </w:tcPr>
          <w:p w14:paraId="2DE8D637">
            <w:pPr>
              <w:spacing w:line="500" w:lineRule="exact"/>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序号</w:t>
            </w:r>
          </w:p>
        </w:tc>
        <w:tc>
          <w:tcPr>
            <w:tcW w:w="2125" w:type="dxa"/>
            <w:vAlign w:val="center"/>
          </w:tcPr>
          <w:p w14:paraId="405A2B7A">
            <w:pPr>
              <w:spacing w:line="500" w:lineRule="exact"/>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赛道名称</w:t>
            </w:r>
          </w:p>
        </w:tc>
        <w:tc>
          <w:tcPr>
            <w:tcW w:w="6723" w:type="dxa"/>
            <w:vAlign w:val="center"/>
          </w:tcPr>
          <w:p w14:paraId="35946CB0">
            <w:pPr>
              <w:spacing w:line="500" w:lineRule="exact"/>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赛道简介</w:t>
            </w:r>
          </w:p>
        </w:tc>
      </w:tr>
      <w:tr w14:paraId="1085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4DDBBD14">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p>
        </w:tc>
        <w:tc>
          <w:tcPr>
            <w:tcW w:w="2125" w:type="dxa"/>
            <w:vAlign w:val="center"/>
          </w:tcPr>
          <w:p w14:paraId="3FFF838F">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b/>
                <w:bCs/>
                <w:sz w:val="28"/>
                <w:szCs w:val="28"/>
              </w:rPr>
            </w:pPr>
            <w:r>
              <w:rPr>
                <w:rFonts w:hint="eastAsia" w:ascii="Times New Roman" w:hAnsi="Times New Roman" w:eastAsia="仿宋_GB2312" w:cs="仿宋_GB2312"/>
                <w:bCs/>
                <w:sz w:val="28"/>
                <w:szCs w:val="28"/>
              </w:rPr>
              <w:t>先进制造</w:t>
            </w:r>
          </w:p>
        </w:tc>
        <w:tc>
          <w:tcPr>
            <w:tcW w:w="6723" w:type="dxa"/>
            <w:vAlign w:val="center"/>
          </w:tcPr>
          <w:p w14:paraId="6C42935C">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运用新技术、新设备、新材料、新工艺、新流程、新生产组织方式对劳动对象进行安全、高效、清洁加工制造从而形成社会所需要的高质量、高性能工业产品。聚焦数字孪生、微纳制造、增材制造、工业设计以及工业机器人等，</w:t>
            </w:r>
          </w:p>
        </w:tc>
      </w:tr>
      <w:tr w14:paraId="50FB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018309DB">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p>
        </w:tc>
        <w:tc>
          <w:tcPr>
            <w:tcW w:w="2125" w:type="dxa"/>
            <w:vAlign w:val="center"/>
          </w:tcPr>
          <w:p w14:paraId="52F5E081">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数字医疗</w:t>
            </w:r>
          </w:p>
        </w:tc>
        <w:tc>
          <w:tcPr>
            <w:tcW w:w="6723" w:type="dxa"/>
            <w:vAlign w:val="center"/>
          </w:tcPr>
          <w:p w14:paraId="48D6D8E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围绕智能化、个性化和综合化的服务，基于数字医疗为推进医疗数据共享、医疗资源深度融合及互联互通等目标提供创新解决方案。</w:t>
            </w:r>
          </w:p>
        </w:tc>
      </w:tr>
      <w:tr w14:paraId="2171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0F089010">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3</w:t>
            </w:r>
          </w:p>
        </w:tc>
        <w:tc>
          <w:tcPr>
            <w:tcW w:w="2125" w:type="dxa"/>
            <w:vAlign w:val="center"/>
          </w:tcPr>
          <w:p w14:paraId="4F7C5C0F">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绿色能源</w:t>
            </w:r>
          </w:p>
        </w:tc>
        <w:tc>
          <w:tcPr>
            <w:tcW w:w="6723" w:type="dxa"/>
            <w:vAlign w:val="center"/>
          </w:tcPr>
          <w:p w14:paraId="7A392385">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推动经济社会发展绿色化、低碳化助力实现高质量发展，重点聚焦产业绿色转型升级、碳中和、新能源技术、智能电网解决方案等。</w:t>
            </w:r>
          </w:p>
        </w:tc>
      </w:tr>
      <w:tr w14:paraId="6F64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14A43662">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4</w:t>
            </w:r>
          </w:p>
        </w:tc>
        <w:tc>
          <w:tcPr>
            <w:tcW w:w="2125" w:type="dxa"/>
            <w:vAlign w:val="center"/>
          </w:tcPr>
          <w:p w14:paraId="2A7EA2AB">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b/>
                <w:bCs/>
                <w:sz w:val="28"/>
                <w:szCs w:val="28"/>
              </w:rPr>
            </w:pPr>
            <w:r>
              <w:rPr>
                <w:rFonts w:hint="eastAsia" w:ascii="Times New Roman" w:hAnsi="Times New Roman" w:eastAsia="仿宋_GB2312" w:cs="仿宋_GB2312"/>
                <w:bCs/>
                <w:sz w:val="28"/>
                <w:szCs w:val="28"/>
              </w:rPr>
              <w:t>人工智能</w:t>
            </w:r>
          </w:p>
        </w:tc>
        <w:tc>
          <w:tcPr>
            <w:tcW w:w="6723" w:type="dxa"/>
            <w:vAlign w:val="center"/>
          </w:tcPr>
          <w:p w14:paraId="47FFDB8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利用人工智能技术解决实际问题，推动人工智能技术创新和应用落地，包括深度学习、自然语言处理、强化学习、人工智能技术生成内容及AI创意应用等</w:t>
            </w:r>
          </w:p>
        </w:tc>
      </w:tr>
      <w:tr w14:paraId="4839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0630B05B">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p>
        </w:tc>
        <w:tc>
          <w:tcPr>
            <w:tcW w:w="2125" w:type="dxa"/>
            <w:vAlign w:val="center"/>
          </w:tcPr>
          <w:p w14:paraId="000650DB">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虚拟仿真</w:t>
            </w:r>
          </w:p>
        </w:tc>
        <w:tc>
          <w:tcPr>
            <w:tcW w:w="6723" w:type="dxa"/>
            <w:vAlign w:val="center"/>
          </w:tcPr>
          <w:p w14:paraId="7133633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重点考察工业设计仿真、工程场景数字化、企业运营仿真、增强现实与虚拟现实以及元宇宙创新应用。</w:t>
            </w:r>
          </w:p>
        </w:tc>
      </w:tr>
      <w:tr w14:paraId="1A67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2255478D">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p>
        </w:tc>
        <w:tc>
          <w:tcPr>
            <w:tcW w:w="2125" w:type="dxa"/>
            <w:vAlign w:val="center"/>
          </w:tcPr>
          <w:p w14:paraId="12022BAC">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b/>
                <w:bCs/>
                <w:sz w:val="28"/>
                <w:szCs w:val="28"/>
              </w:rPr>
            </w:pPr>
            <w:r>
              <w:rPr>
                <w:rFonts w:hint="eastAsia" w:ascii="Times New Roman" w:hAnsi="Times New Roman" w:eastAsia="仿宋_GB2312" w:cs="仿宋_GB2312"/>
                <w:bCs/>
                <w:sz w:val="28"/>
                <w:szCs w:val="28"/>
              </w:rPr>
              <w:t>数字农业</w:t>
            </w:r>
          </w:p>
        </w:tc>
        <w:tc>
          <w:tcPr>
            <w:tcW w:w="6723" w:type="dxa"/>
            <w:vAlign w:val="center"/>
          </w:tcPr>
          <w:p w14:paraId="4FD8461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关注信息作为农业生产要素，使用现代信息技术对农业对象、环境和全过程进行可视化表达、数字化设计、信息化管理的现代农业，重点聚焦包括精准农业技术与装备、农业物联网系统、农产品加工与物流以及农产品质量安全追溯系统等。</w:t>
            </w:r>
          </w:p>
        </w:tc>
      </w:tr>
      <w:tr w14:paraId="5B1E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2C3FF179">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p>
        </w:tc>
        <w:tc>
          <w:tcPr>
            <w:tcW w:w="2125" w:type="dxa"/>
            <w:vAlign w:val="center"/>
          </w:tcPr>
          <w:p w14:paraId="0F34504D">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outlineLvl w:val="2"/>
              <w:rPr>
                <w:rFonts w:hint="default" w:ascii="Times New Roman" w:hAnsi="Times New Roman" w:eastAsia="仿宋_GB2312" w:cs="仿宋_GB2312"/>
                <w:sz w:val="28"/>
                <w:szCs w:val="28"/>
              </w:rPr>
            </w:pPr>
            <w:r>
              <w:rPr>
                <w:rFonts w:ascii="Times New Roman" w:hAnsi="Times New Roman" w:eastAsia="仿宋_GB2312" w:cs="仿宋_GB2312"/>
                <w:b w:val="0"/>
                <w:kern w:val="2"/>
                <w:sz w:val="28"/>
                <w:szCs w:val="28"/>
                <w:lang w:bidi="ar-SA"/>
              </w:rPr>
              <w:t>未来技术</w:t>
            </w:r>
          </w:p>
        </w:tc>
        <w:tc>
          <w:tcPr>
            <w:tcW w:w="6723" w:type="dxa"/>
            <w:vAlign w:val="center"/>
          </w:tcPr>
          <w:p w14:paraId="2428AFD1">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包括未涵盖在前述赛道中的未来技术领域，瞄准金砖国家未来前沿性、革命性、颠覆性科技创新，凝练基于学科交叉和跨界知识融合的特色，重点考察未来技术的前瞻性思维与原始创新能力水平。</w:t>
            </w:r>
          </w:p>
        </w:tc>
      </w:tr>
      <w:tr w14:paraId="6E8F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34C45EBC">
            <w:pPr>
              <w:spacing w:line="5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p>
        </w:tc>
        <w:tc>
          <w:tcPr>
            <w:tcW w:w="2125" w:type="dxa"/>
            <w:vAlign w:val="center"/>
          </w:tcPr>
          <w:p w14:paraId="5A2354E0">
            <w:pPr>
              <w:pStyle w:val="2"/>
              <w:widowControl/>
              <w:spacing w:beforeAutospacing="0" w:afterAutospacing="0" w:line="500" w:lineRule="exact"/>
              <w:jc w:val="center"/>
              <w:outlineLvl w:val="2"/>
              <w:rPr>
                <w:rFonts w:hint="default" w:ascii="Times New Roman" w:hAnsi="Times New Roman" w:eastAsia="仿宋_GB2312" w:cs="仿宋_GB2312"/>
                <w:b w:val="0"/>
                <w:kern w:val="2"/>
                <w:sz w:val="28"/>
                <w:szCs w:val="28"/>
                <w:lang w:bidi="ar-SA"/>
              </w:rPr>
            </w:pPr>
            <w:r>
              <w:rPr>
                <w:rFonts w:ascii="Times New Roman" w:hAnsi="Times New Roman" w:eastAsia="仿宋_GB2312" w:cs="仿宋_GB2312"/>
                <w:b w:val="0"/>
                <w:kern w:val="2"/>
                <w:sz w:val="28"/>
                <w:szCs w:val="28"/>
                <w:lang w:bidi="ar-SA"/>
              </w:rPr>
              <w:t>天空、空间和通信技术</w:t>
            </w:r>
          </w:p>
        </w:tc>
        <w:tc>
          <w:tcPr>
            <w:tcW w:w="6723" w:type="dxa"/>
            <w:vAlign w:val="center"/>
          </w:tcPr>
          <w:p w14:paraId="6C9F0071">
            <w:pPr>
              <w:pStyle w:val="2"/>
              <w:widowControl/>
              <w:spacing w:beforeAutospacing="0" w:afterAutospacing="0" w:line="500" w:lineRule="exact"/>
              <w:ind w:firstLine="560" w:firstLineChars="200"/>
              <w:jc w:val="both"/>
              <w:outlineLvl w:val="2"/>
              <w:rPr>
                <w:rFonts w:hint="default" w:ascii="Times New Roman" w:hAnsi="Times New Roman" w:eastAsia="仿宋_GB2312" w:cs="仿宋_GB2312"/>
                <w:b w:val="0"/>
                <w:kern w:val="2"/>
                <w:sz w:val="28"/>
                <w:szCs w:val="28"/>
                <w:lang w:bidi="ar-SA"/>
              </w:rPr>
            </w:pPr>
            <w:r>
              <w:rPr>
                <w:rFonts w:ascii="Times New Roman" w:hAnsi="Times New Roman" w:eastAsia="仿宋_GB2312" w:cs="仿宋_GB2312"/>
                <w:b w:val="0"/>
                <w:bCs w:val="0"/>
                <w:kern w:val="2"/>
                <w:sz w:val="28"/>
                <w:szCs w:val="28"/>
                <w:lang w:bidi="ar-SA"/>
              </w:rPr>
              <w:t>包括但不限于，地理信息系统；卫星控制/通讯技术；无人机；(4-5G）无线通讯；量子通讯；无线技术与物联网等。</w:t>
            </w:r>
          </w:p>
        </w:tc>
      </w:tr>
      <w:tr w14:paraId="7FC4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vAlign w:val="center"/>
          </w:tcPr>
          <w:p w14:paraId="03081A60">
            <w:pPr>
              <w:spacing w:line="5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9</w:t>
            </w:r>
          </w:p>
        </w:tc>
        <w:tc>
          <w:tcPr>
            <w:tcW w:w="2125" w:type="dxa"/>
            <w:vAlign w:val="center"/>
          </w:tcPr>
          <w:p w14:paraId="621F21F3">
            <w:pPr>
              <w:pStyle w:val="2"/>
              <w:widowControl/>
              <w:spacing w:beforeAutospacing="0" w:afterAutospacing="0" w:line="500" w:lineRule="exact"/>
              <w:jc w:val="center"/>
              <w:outlineLvl w:val="2"/>
              <w:rPr>
                <w:rFonts w:hint="default" w:ascii="Times New Roman" w:hAnsi="Times New Roman" w:eastAsia="仿宋_GB2312" w:cs="仿宋_GB2312"/>
                <w:b w:val="0"/>
                <w:kern w:val="2"/>
                <w:sz w:val="28"/>
                <w:szCs w:val="28"/>
                <w:lang w:bidi="ar-SA"/>
              </w:rPr>
            </w:pPr>
            <w:r>
              <w:rPr>
                <w:rFonts w:ascii="Times New Roman" w:hAnsi="Times New Roman" w:eastAsia="仿宋_GB2312" w:cs="仿宋_GB2312"/>
                <w:b w:val="0"/>
                <w:kern w:val="2"/>
                <w:sz w:val="28"/>
                <w:szCs w:val="28"/>
                <w:lang w:bidi="ar-SA"/>
              </w:rPr>
              <w:t>政府与公共管理平台与端到端解决方案</w:t>
            </w:r>
          </w:p>
        </w:tc>
        <w:tc>
          <w:tcPr>
            <w:tcW w:w="6723" w:type="dxa"/>
            <w:vAlign w:val="center"/>
          </w:tcPr>
          <w:p w14:paraId="0CB29D81">
            <w:pPr>
              <w:pStyle w:val="2"/>
              <w:widowControl/>
              <w:spacing w:beforeAutospacing="0" w:afterAutospacing="0" w:line="500" w:lineRule="exact"/>
              <w:ind w:firstLine="560" w:firstLineChars="200"/>
              <w:jc w:val="both"/>
              <w:outlineLvl w:val="2"/>
              <w:rPr>
                <w:rFonts w:hint="default" w:ascii="Times New Roman" w:hAnsi="Times New Roman" w:eastAsia="仿宋_GB2312" w:cs="仿宋_GB2312"/>
                <w:b w:val="0"/>
                <w:kern w:val="2"/>
                <w:sz w:val="28"/>
                <w:szCs w:val="28"/>
                <w:lang w:bidi="ar-SA"/>
              </w:rPr>
            </w:pPr>
            <w:r>
              <w:rPr>
                <w:rFonts w:ascii="Times New Roman" w:hAnsi="Times New Roman" w:eastAsia="仿宋_GB2312" w:cs="仿宋_GB2312"/>
                <w:b w:val="0"/>
                <w:bCs w:val="0"/>
                <w:kern w:val="2"/>
                <w:sz w:val="28"/>
                <w:szCs w:val="28"/>
                <w:lang w:bidi="ar-SA"/>
              </w:rPr>
              <w:t>包括但不限于，</w:t>
            </w:r>
            <w:r>
              <w:rPr>
                <w:rFonts w:ascii="Times New Roman" w:hAnsi="Times New Roman" w:eastAsia="仿宋_GB2312" w:cs="仿宋_GB2312"/>
                <w:b w:val="0"/>
                <w:kern w:val="2"/>
                <w:sz w:val="28"/>
                <w:szCs w:val="28"/>
                <w:lang w:bidi="ar-SA"/>
              </w:rPr>
              <w:t>国家和市政技术平台；企业技术平台；国际技术平台；智能决策系统；为公民提供数字化服务和服务生态系统等。</w:t>
            </w:r>
          </w:p>
        </w:tc>
      </w:tr>
      <w:tr w14:paraId="14B4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649939F1">
            <w:pPr>
              <w:spacing w:line="5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2125" w:type="dxa"/>
            <w:vAlign w:val="center"/>
          </w:tcPr>
          <w:p w14:paraId="408740FE">
            <w:pPr>
              <w:pStyle w:val="2"/>
              <w:widowControl/>
              <w:spacing w:beforeAutospacing="0" w:afterAutospacing="0" w:line="500" w:lineRule="exact"/>
              <w:jc w:val="center"/>
              <w:outlineLvl w:val="2"/>
              <w:rPr>
                <w:rFonts w:hint="default" w:ascii="Times New Roman" w:hAnsi="Times New Roman" w:eastAsia="仿宋_GB2312" w:cs="仿宋_GB2312"/>
                <w:b w:val="0"/>
                <w:kern w:val="2"/>
                <w:sz w:val="28"/>
                <w:szCs w:val="28"/>
                <w:lang w:bidi="ar-SA"/>
              </w:rPr>
            </w:pPr>
            <w:r>
              <w:rPr>
                <w:rFonts w:ascii="Times New Roman" w:hAnsi="Times New Roman" w:eastAsia="仿宋_GB2312" w:cs="仿宋_GB2312"/>
                <w:b w:val="0"/>
                <w:kern w:val="2"/>
                <w:sz w:val="28"/>
                <w:szCs w:val="28"/>
                <w:lang w:bidi="ar-SA"/>
              </w:rPr>
              <w:t>能力和员工发展</w:t>
            </w:r>
          </w:p>
        </w:tc>
        <w:tc>
          <w:tcPr>
            <w:tcW w:w="6723" w:type="dxa"/>
            <w:vAlign w:val="center"/>
          </w:tcPr>
          <w:p w14:paraId="148B0915">
            <w:pPr>
              <w:pStyle w:val="2"/>
              <w:widowControl/>
              <w:spacing w:beforeAutospacing="0" w:afterAutospacing="0" w:line="500" w:lineRule="exact"/>
              <w:ind w:firstLine="560" w:firstLineChars="200"/>
              <w:jc w:val="both"/>
              <w:outlineLvl w:val="2"/>
              <w:rPr>
                <w:rFonts w:hint="default" w:ascii="Times New Roman" w:hAnsi="Times New Roman" w:eastAsia="仿宋_GB2312" w:cs="仿宋_GB2312"/>
                <w:b w:val="0"/>
                <w:kern w:val="2"/>
                <w:sz w:val="28"/>
                <w:szCs w:val="28"/>
                <w:lang w:bidi="ar-SA"/>
              </w:rPr>
            </w:pPr>
            <w:r>
              <w:rPr>
                <w:rFonts w:ascii="Times New Roman" w:hAnsi="Times New Roman" w:eastAsia="仿宋_GB2312" w:cs="仿宋_GB2312"/>
                <w:b w:val="0"/>
                <w:bCs w:val="0"/>
                <w:kern w:val="2"/>
                <w:sz w:val="28"/>
                <w:szCs w:val="28"/>
                <w:lang w:bidi="ar-SA"/>
              </w:rPr>
              <w:t>包括但不限于，人工智能、关键技术等领域的国家培训项目；区块链、人工智能、物联网、数字孪生等领域的项目负责人/团队/解决方案等</w:t>
            </w:r>
          </w:p>
        </w:tc>
      </w:tr>
    </w:tbl>
    <w:p w14:paraId="629E1866">
      <w:r>
        <w:br w:type="page"/>
      </w:r>
    </w:p>
    <w:p w14:paraId="60F3C0DE">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w:t>
      </w:r>
    </w:p>
    <w:p w14:paraId="2692B094">
      <w:pPr>
        <w:jc w:val="center"/>
        <w:rPr>
          <w:rFonts w:ascii="Times New Roman" w:hAnsi="Times New Roman" w:eastAsia="方正公文小标宋" w:cs="方正公文小标宋"/>
          <w:b w:val="0"/>
          <w:bCs w:val="0"/>
          <w:kern w:val="0"/>
          <w:sz w:val="36"/>
          <w:szCs w:val="36"/>
          <w:lang w:bidi="ar"/>
        </w:rPr>
      </w:pPr>
      <w:r>
        <w:rPr>
          <w:rFonts w:hint="eastAsia" w:ascii="Times New Roman" w:hAnsi="Times New Roman" w:eastAsia="方正公文小标宋" w:cs="方正公文小标宋"/>
          <w:b w:val="0"/>
          <w:bCs w:val="0"/>
          <w:kern w:val="0"/>
          <w:sz w:val="36"/>
          <w:szCs w:val="36"/>
          <w:lang w:bidi="ar"/>
        </w:rPr>
        <w:t>2025金砖国家技能发展与技术创新大赛国际赛及</w:t>
      </w:r>
    </w:p>
    <w:p w14:paraId="3D8AD8EA">
      <w:pPr>
        <w:jc w:val="center"/>
        <w:rPr>
          <w:rFonts w:ascii="Times New Roman" w:hAnsi="Times New Roman" w:eastAsia="方正小标宋简体" w:cs="方正小标宋简体"/>
          <w:b w:val="0"/>
          <w:bCs w:val="0"/>
          <w:kern w:val="0"/>
          <w:sz w:val="36"/>
          <w:szCs w:val="36"/>
          <w:lang w:bidi="ar"/>
        </w:rPr>
      </w:pPr>
      <w:r>
        <w:rPr>
          <w:rFonts w:hint="eastAsia" w:ascii="Times New Roman" w:hAnsi="Times New Roman" w:eastAsia="方正公文小标宋" w:cs="方正公文小标宋"/>
          <w:b w:val="0"/>
          <w:bCs w:val="0"/>
          <w:kern w:val="0"/>
          <w:sz w:val="36"/>
          <w:szCs w:val="36"/>
          <w:lang w:bidi="ar"/>
        </w:rPr>
        <w:t>国际交流活动列表</w:t>
      </w:r>
    </w:p>
    <w:tbl>
      <w:tblPr>
        <w:tblStyle w:val="6"/>
        <w:tblpPr w:leftFromText="180" w:rightFromText="180" w:vertAnchor="text" w:horzAnchor="page" w:tblpXSpec="center" w:tblpY="561"/>
        <w:tblOverlap w:val="never"/>
        <w:tblW w:w="6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56"/>
        <w:gridCol w:w="580"/>
        <w:gridCol w:w="547"/>
        <w:gridCol w:w="749"/>
        <w:gridCol w:w="1263"/>
        <w:gridCol w:w="2406"/>
        <w:gridCol w:w="3311"/>
      </w:tblGrid>
      <w:tr w14:paraId="6832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ign w:val="center"/>
          </w:tcPr>
          <w:p w14:paraId="63CED967">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序号</w:t>
            </w:r>
          </w:p>
        </w:tc>
        <w:tc>
          <w:tcPr>
            <w:tcW w:w="417" w:type="pct"/>
            <w:noWrap/>
            <w:vAlign w:val="center"/>
          </w:tcPr>
          <w:p w14:paraId="74F1A06D">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国家/地区</w:t>
            </w:r>
          </w:p>
        </w:tc>
        <w:tc>
          <w:tcPr>
            <w:tcW w:w="283" w:type="pct"/>
            <w:noWrap/>
            <w:vAlign w:val="center"/>
          </w:tcPr>
          <w:p w14:paraId="3AE8BEBE">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城市</w:t>
            </w:r>
          </w:p>
        </w:tc>
        <w:tc>
          <w:tcPr>
            <w:tcW w:w="267" w:type="pct"/>
            <w:noWrap/>
            <w:vAlign w:val="center"/>
          </w:tcPr>
          <w:p w14:paraId="6A0BAC6E">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时间</w:t>
            </w:r>
          </w:p>
        </w:tc>
        <w:tc>
          <w:tcPr>
            <w:tcW w:w="365" w:type="pct"/>
            <w:vAlign w:val="center"/>
          </w:tcPr>
          <w:p w14:paraId="7713434A">
            <w:pPr>
              <w:widowControl/>
              <w:spacing w:line="360" w:lineRule="exact"/>
              <w:jc w:val="center"/>
              <w:textAlignment w:val="center"/>
              <w:rPr>
                <w:rFonts w:ascii="Times New Roman" w:hAnsi="Times New Roman" w:eastAsia="仿宋_GB2312" w:cs="仿宋_GB2312"/>
                <w:b/>
                <w:bCs/>
                <w:kern w:val="0"/>
                <w:sz w:val="24"/>
                <w:lang w:bidi="ar"/>
              </w:rPr>
            </w:pPr>
            <w:r>
              <w:rPr>
                <w:rFonts w:hint="eastAsia" w:ascii="Times New Roman" w:hAnsi="Times New Roman" w:eastAsia="仿宋_GB2312" w:cs="仿宋_GB2312"/>
                <w:b/>
                <w:bCs/>
                <w:kern w:val="0"/>
                <w:sz w:val="24"/>
                <w:lang w:bidi="ar"/>
              </w:rPr>
              <w:t>停留</w:t>
            </w:r>
          </w:p>
          <w:p w14:paraId="52121BA6">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天数</w:t>
            </w:r>
          </w:p>
        </w:tc>
        <w:tc>
          <w:tcPr>
            <w:tcW w:w="615" w:type="pct"/>
            <w:noWrap/>
            <w:vAlign w:val="center"/>
          </w:tcPr>
          <w:p w14:paraId="053DBAEB">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活动主题</w:t>
            </w:r>
          </w:p>
        </w:tc>
        <w:tc>
          <w:tcPr>
            <w:tcW w:w="1172" w:type="pct"/>
            <w:vAlign w:val="center"/>
          </w:tcPr>
          <w:p w14:paraId="110350C8">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名称</w:t>
            </w:r>
          </w:p>
        </w:tc>
        <w:tc>
          <w:tcPr>
            <w:tcW w:w="1612" w:type="pct"/>
            <w:noWrap/>
            <w:vAlign w:val="center"/>
          </w:tcPr>
          <w:p w14:paraId="28F00946">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出访任务及必要性说明</w:t>
            </w:r>
          </w:p>
        </w:tc>
      </w:tr>
      <w:tr w14:paraId="0B7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264" w:type="pct"/>
            <w:vAlign w:val="center"/>
          </w:tcPr>
          <w:p w14:paraId="1789C952">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1</w:t>
            </w:r>
          </w:p>
        </w:tc>
        <w:tc>
          <w:tcPr>
            <w:tcW w:w="417" w:type="pct"/>
            <w:vAlign w:val="center"/>
          </w:tcPr>
          <w:p w14:paraId="0AFD12F9">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东盟（印尼/新加坡/泰国/马来西亚）</w:t>
            </w:r>
          </w:p>
        </w:tc>
        <w:tc>
          <w:tcPr>
            <w:tcW w:w="283" w:type="pct"/>
            <w:vAlign w:val="center"/>
          </w:tcPr>
          <w:p w14:paraId="069A1777">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待定</w:t>
            </w:r>
          </w:p>
        </w:tc>
        <w:tc>
          <w:tcPr>
            <w:tcW w:w="267" w:type="pct"/>
            <w:vAlign w:val="center"/>
          </w:tcPr>
          <w:p w14:paraId="1AE324C7">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5月</w:t>
            </w:r>
          </w:p>
        </w:tc>
        <w:tc>
          <w:tcPr>
            <w:tcW w:w="365" w:type="pct"/>
            <w:vAlign w:val="center"/>
          </w:tcPr>
          <w:p w14:paraId="39CE11C6">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7天</w:t>
            </w:r>
          </w:p>
        </w:tc>
        <w:tc>
          <w:tcPr>
            <w:tcW w:w="615" w:type="pct"/>
            <w:vAlign w:val="center"/>
          </w:tcPr>
          <w:p w14:paraId="732BFDCA">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064E3EB3">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2025金砖国家技能发展与技术创新大赛东盟国际赛暨国际合作交流活动</w:t>
            </w:r>
          </w:p>
        </w:tc>
        <w:tc>
          <w:tcPr>
            <w:tcW w:w="1612" w:type="pct"/>
            <w:vMerge w:val="restart"/>
            <w:vAlign w:val="center"/>
          </w:tcPr>
          <w:p w14:paraId="4B0117E2">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1. 参与2025金砖大赛各国际赛区赛事，深度融入国际技能竞技交流前沿，汲取先进经验，展示我国技能水平与创新成果。</w:t>
            </w:r>
          </w:p>
          <w:p w14:paraId="00EAA2BD">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2. 与出访国家就合作建设金砖工坊展开探讨，旨在服务国际产能合作与中国企业“走出去”战略，通过开展海外人员学历教育、技能培训，培育国际化人才以及中资企业急需的本土技能人才，塑造独具中国特色的“职教出海”优质品牌。</w:t>
            </w:r>
          </w:p>
          <w:p w14:paraId="585A051F">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3. 共商建设具有高国际化水准的高等学校、职业学校相关事宜，全力打造职业教育国际知名品牌，提升我国职业教育在国际舞台的竞争力与吸引力。</w:t>
            </w:r>
          </w:p>
          <w:p w14:paraId="530718A5">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4. 研讨合作建设具备国际影响力的专业标准、课程标准、教学资源及教学装备，促使“中国标准”迈向“国际标准”，进一步增强中国职业教育的国际话语权与影响力。</w:t>
            </w:r>
          </w:p>
          <w:p w14:paraId="22C52D65">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5. 深入交流合作模式，积极推动双方签署合作备忘录，为后续合作奠定坚实的契约基础，确保合作有序、高效开展。</w:t>
            </w:r>
          </w:p>
          <w:p w14:paraId="07B48D26">
            <w:pPr>
              <w:widowControl/>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6. 探索技术创新项目，全力推动项目对接与成果转化，实现技术资源共享，促进共同发展。</w:t>
            </w:r>
          </w:p>
        </w:tc>
      </w:tr>
      <w:tr w14:paraId="3342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264" w:type="pct"/>
            <w:vAlign w:val="center"/>
          </w:tcPr>
          <w:p w14:paraId="203B3FE9">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2</w:t>
            </w:r>
          </w:p>
        </w:tc>
        <w:tc>
          <w:tcPr>
            <w:tcW w:w="417" w:type="pct"/>
            <w:vAlign w:val="center"/>
          </w:tcPr>
          <w:p w14:paraId="52BCD234">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中亚（哈萨克斯坦、乌兹别克斯坦、吉尔吉斯斯坦）</w:t>
            </w:r>
          </w:p>
        </w:tc>
        <w:tc>
          <w:tcPr>
            <w:tcW w:w="283" w:type="pct"/>
            <w:vAlign w:val="center"/>
          </w:tcPr>
          <w:p w14:paraId="01FC1865">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待定</w:t>
            </w:r>
          </w:p>
        </w:tc>
        <w:tc>
          <w:tcPr>
            <w:tcW w:w="267" w:type="pct"/>
            <w:vAlign w:val="center"/>
          </w:tcPr>
          <w:p w14:paraId="79626505">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6月</w:t>
            </w:r>
          </w:p>
        </w:tc>
        <w:tc>
          <w:tcPr>
            <w:tcW w:w="365" w:type="pct"/>
            <w:vAlign w:val="center"/>
          </w:tcPr>
          <w:p w14:paraId="71D18185">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7天</w:t>
            </w:r>
          </w:p>
        </w:tc>
        <w:tc>
          <w:tcPr>
            <w:tcW w:w="615" w:type="pct"/>
            <w:vAlign w:val="center"/>
          </w:tcPr>
          <w:p w14:paraId="4459C77D">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72D88251">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2025金砖国家技能发展与技术创新大赛中亚国际赛暨国际合作交流活动</w:t>
            </w:r>
          </w:p>
        </w:tc>
        <w:tc>
          <w:tcPr>
            <w:tcW w:w="1612" w:type="pct"/>
            <w:vMerge w:val="continue"/>
            <w:vAlign w:val="center"/>
          </w:tcPr>
          <w:p w14:paraId="589BB571">
            <w:pPr>
              <w:widowControl/>
              <w:spacing w:line="360" w:lineRule="exact"/>
              <w:textAlignment w:val="center"/>
              <w:rPr>
                <w:rFonts w:ascii="Times New Roman" w:hAnsi="Times New Roman" w:eastAsia="仿宋_GB2312" w:cs="仿宋_GB2312"/>
                <w:kern w:val="0"/>
                <w:sz w:val="24"/>
                <w:lang w:bidi="ar"/>
              </w:rPr>
            </w:pPr>
          </w:p>
        </w:tc>
      </w:tr>
      <w:tr w14:paraId="64C6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64" w:type="pct"/>
            <w:vAlign w:val="center"/>
          </w:tcPr>
          <w:p w14:paraId="29A6B681">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3</w:t>
            </w:r>
          </w:p>
        </w:tc>
        <w:tc>
          <w:tcPr>
            <w:tcW w:w="417" w:type="pct"/>
            <w:vAlign w:val="center"/>
          </w:tcPr>
          <w:p w14:paraId="1F0FD02D">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巴西</w:t>
            </w:r>
          </w:p>
        </w:tc>
        <w:tc>
          <w:tcPr>
            <w:tcW w:w="283" w:type="pct"/>
            <w:vAlign w:val="center"/>
          </w:tcPr>
          <w:p w14:paraId="36B22DFD">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待定</w:t>
            </w:r>
          </w:p>
        </w:tc>
        <w:tc>
          <w:tcPr>
            <w:tcW w:w="267" w:type="pct"/>
            <w:vAlign w:val="center"/>
          </w:tcPr>
          <w:p w14:paraId="3A4B5771">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9月</w:t>
            </w:r>
          </w:p>
        </w:tc>
        <w:tc>
          <w:tcPr>
            <w:tcW w:w="365" w:type="pct"/>
            <w:vAlign w:val="center"/>
          </w:tcPr>
          <w:p w14:paraId="29C3336D">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9天</w:t>
            </w:r>
          </w:p>
        </w:tc>
        <w:tc>
          <w:tcPr>
            <w:tcW w:w="615" w:type="pct"/>
            <w:vAlign w:val="center"/>
          </w:tcPr>
          <w:p w14:paraId="047895DF">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56A8B318">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2025金砖国家技能发展与技术创新大赛巴西技术创新赛暨国际合作交流活动</w:t>
            </w:r>
          </w:p>
        </w:tc>
        <w:tc>
          <w:tcPr>
            <w:tcW w:w="1612" w:type="pct"/>
            <w:vMerge w:val="continue"/>
            <w:vAlign w:val="center"/>
          </w:tcPr>
          <w:p w14:paraId="18D0B2A1">
            <w:pPr>
              <w:widowControl/>
              <w:spacing w:line="360" w:lineRule="exact"/>
              <w:textAlignment w:val="center"/>
              <w:rPr>
                <w:rFonts w:ascii="Times New Roman" w:hAnsi="Times New Roman" w:eastAsia="仿宋_GB2312" w:cs="仿宋_GB2312"/>
                <w:sz w:val="24"/>
              </w:rPr>
            </w:pPr>
          </w:p>
        </w:tc>
      </w:tr>
      <w:tr w14:paraId="1B89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64" w:type="pct"/>
            <w:vAlign w:val="center"/>
          </w:tcPr>
          <w:p w14:paraId="7D54F242">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4</w:t>
            </w:r>
          </w:p>
        </w:tc>
        <w:tc>
          <w:tcPr>
            <w:tcW w:w="417" w:type="pct"/>
            <w:vAlign w:val="center"/>
          </w:tcPr>
          <w:p w14:paraId="023134AF">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南非</w:t>
            </w:r>
          </w:p>
        </w:tc>
        <w:tc>
          <w:tcPr>
            <w:tcW w:w="283" w:type="pct"/>
            <w:vAlign w:val="center"/>
          </w:tcPr>
          <w:p w14:paraId="0DFF731B">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待定</w:t>
            </w:r>
          </w:p>
        </w:tc>
        <w:tc>
          <w:tcPr>
            <w:tcW w:w="267" w:type="pct"/>
            <w:vAlign w:val="center"/>
          </w:tcPr>
          <w:p w14:paraId="01B59299">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8月</w:t>
            </w:r>
          </w:p>
        </w:tc>
        <w:tc>
          <w:tcPr>
            <w:tcW w:w="365" w:type="pct"/>
            <w:vAlign w:val="center"/>
          </w:tcPr>
          <w:p w14:paraId="201A64B4">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8天</w:t>
            </w:r>
          </w:p>
        </w:tc>
        <w:tc>
          <w:tcPr>
            <w:tcW w:w="615" w:type="pct"/>
            <w:vAlign w:val="center"/>
          </w:tcPr>
          <w:p w14:paraId="36DECF8B">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国际交流/基地建设/</w:t>
            </w:r>
          </w:p>
          <w:p w14:paraId="63B6245D">
            <w:pPr>
              <w:pStyle w:val="10"/>
              <w:spacing w:line="360" w:lineRule="exact"/>
              <w:ind w:firstLine="0" w:firstLineChars="0"/>
              <w:rPr>
                <w:rFonts w:ascii="Times New Roman" w:hAnsi="Times New Roman" w:eastAsia="仿宋_GB2312" w:cs="仿宋_GB2312"/>
                <w:kern w:val="0"/>
                <w:sz w:val="24"/>
                <w:lang w:bidi="ar"/>
              </w:rPr>
            </w:pPr>
            <w:r>
              <w:rPr>
                <w:rFonts w:hint="eastAsia" w:ascii="Times New Roman" w:hAnsi="Times New Roman" w:eastAsia="仿宋_GB2312" w:cs="仿宋_GB2312"/>
                <w:sz w:val="24"/>
              </w:rPr>
              <w:t>金砖大赛</w:t>
            </w:r>
          </w:p>
        </w:tc>
        <w:tc>
          <w:tcPr>
            <w:tcW w:w="1172" w:type="pct"/>
            <w:vAlign w:val="center"/>
          </w:tcPr>
          <w:p w14:paraId="34C81994">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2025金砖国家技能发展与技术创新大赛南非国际赛</w:t>
            </w:r>
            <w:r>
              <w:rPr>
                <w:rFonts w:hint="eastAsia" w:ascii="Times New Roman" w:hAnsi="Times New Roman" w:eastAsia="仿宋_GB2312" w:cs="仿宋_GB2312"/>
                <w:sz w:val="24"/>
              </w:rPr>
              <w:t>暨国际合作交流活动</w:t>
            </w:r>
          </w:p>
        </w:tc>
        <w:tc>
          <w:tcPr>
            <w:tcW w:w="1612" w:type="pct"/>
            <w:vMerge w:val="continue"/>
            <w:vAlign w:val="center"/>
          </w:tcPr>
          <w:p w14:paraId="0688B093">
            <w:pPr>
              <w:pStyle w:val="10"/>
              <w:spacing w:line="360" w:lineRule="exact"/>
              <w:ind w:firstLine="0" w:firstLineChars="0"/>
              <w:rPr>
                <w:rFonts w:ascii="Times New Roman" w:hAnsi="Times New Roman" w:eastAsia="仿宋_GB2312" w:cs="仿宋_GB2312"/>
                <w:kern w:val="0"/>
                <w:sz w:val="24"/>
                <w:lang w:bidi="ar"/>
              </w:rPr>
            </w:pPr>
          </w:p>
        </w:tc>
      </w:tr>
      <w:tr w14:paraId="1FE9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64" w:type="pct"/>
            <w:vAlign w:val="center"/>
          </w:tcPr>
          <w:p w14:paraId="2BADD715">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5</w:t>
            </w:r>
          </w:p>
        </w:tc>
        <w:tc>
          <w:tcPr>
            <w:tcW w:w="417" w:type="pct"/>
            <w:vAlign w:val="center"/>
          </w:tcPr>
          <w:p w14:paraId="6E14596A">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俄罗斯</w:t>
            </w:r>
          </w:p>
        </w:tc>
        <w:tc>
          <w:tcPr>
            <w:tcW w:w="283" w:type="pct"/>
            <w:vAlign w:val="center"/>
          </w:tcPr>
          <w:p w14:paraId="324D3BCB">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待定</w:t>
            </w:r>
          </w:p>
        </w:tc>
        <w:tc>
          <w:tcPr>
            <w:tcW w:w="267" w:type="pct"/>
            <w:vAlign w:val="center"/>
          </w:tcPr>
          <w:p w14:paraId="76166874">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9月</w:t>
            </w:r>
          </w:p>
        </w:tc>
        <w:tc>
          <w:tcPr>
            <w:tcW w:w="365" w:type="pct"/>
            <w:vAlign w:val="center"/>
          </w:tcPr>
          <w:p w14:paraId="53F68059">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7天</w:t>
            </w:r>
          </w:p>
        </w:tc>
        <w:tc>
          <w:tcPr>
            <w:tcW w:w="615" w:type="pct"/>
            <w:vAlign w:val="center"/>
          </w:tcPr>
          <w:p w14:paraId="3D54C8F3">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4A09B7C7">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2025金砖国家技能发展与技术创新大赛俄罗斯国际赛暨国际合作交流活动</w:t>
            </w:r>
          </w:p>
        </w:tc>
        <w:tc>
          <w:tcPr>
            <w:tcW w:w="1612" w:type="pct"/>
            <w:vMerge w:val="continue"/>
            <w:vAlign w:val="center"/>
          </w:tcPr>
          <w:p w14:paraId="7CB1D911">
            <w:pPr>
              <w:widowControl/>
              <w:spacing w:line="360" w:lineRule="exact"/>
              <w:textAlignment w:val="center"/>
              <w:rPr>
                <w:rFonts w:ascii="Times New Roman" w:hAnsi="Times New Roman" w:eastAsia="仿宋_GB2312" w:cs="仿宋_GB2312"/>
                <w:kern w:val="0"/>
                <w:sz w:val="24"/>
                <w:lang w:bidi="ar"/>
              </w:rPr>
            </w:pPr>
          </w:p>
        </w:tc>
      </w:tr>
      <w:tr w14:paraId="424E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64" w:type="pct"/>
            <w:vAlign w:val="center"/>
          </w:tcPr>
          <w:p w14:paraId="0358463D">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6</w:t>
            </w:r>
          </w:p>
        </w:tc>
        <w:tc>
          <w:tcPr>
            <w:tcW w:w="417" w:type="pct"/>
            <w:vAlign w:val="center"/>
          </w:tcPr>
          <w:p w14:paraId="5D4B4363">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中东（伊朗/阿联酋）</w:t>
            </w:r>
          </w:p>
        </w:tc>
        <w:tc>
          <w:tcPr>
            <w:tcW w:w="283" w:type="pct"/>
            <w:vAlign w:val="center"/>
          </w:tcPr>
          <w:p w14:paraId="702F59BB">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待定</w:t>
            </w:r>
          </w:p>
        </w:tc>
        <w:tc>
          <w:tcPr>
            <w:tcW w:w="267" w:type="pct"/>
            <w:vAlign w:val="center"/>
          </w:tcPr>
          <w:p w14:paraId="076BB3B2">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10月</w:t>
            </w:r>
          </w:p>
        </w:tc>
        <w:tc>
          <w:tcPr>
            <w:tcW w:w="365" w:type="pct"/>
            <w:vAlign w:val="center"/>
          </w:tcPr>
          <w:p w14:paraId="1DE16E5D">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7天</w:t>
            </w:r>
          </w:p>
        </w:tc>
        <w:tc>
          <w:tcPr>
            <w:tcW w:w="615" w:type="pct"/>
            <w:vAlign w:val="center"/>
          </w:tcPr>
          <w:p w14:paraId="09404D07">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国际交流/基地建设/</w:t>
            </w:r>
          </w:p>
          <w:p w14:paraId="66AEA31E">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sz w:val="24"/>
              </w:rPr>
              <w:t>金砖大赛</w:t>
            </w:r>
          </w:p>
        </w:tc>
        <w:tc>
          <w:tcPr>
            <w:tcW w:w="1172" w:type="pct"/>
            <w:vAlign w:val="center"/>
          </w:tcPr>
          <w:p w14:paraId="478258ED">
            <w:pPr>
              <w:widowControl/>
              <w:spacing w:line="360" w:lineRule="exact"/>
              <w:jc w:val="lef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sz w:val="24"/>
              </w:rPr>
              <w:t>2025金砖国家技能发展与技术创新大赛中东国际赛暨国际合作交流活动</w:t>
            </w:r>
          </w:p>
        </w:tc>
        <w:tc>
          <w:tcPr>
            <w:tcW w:w="1612" w:type="pct"/>
            <w:vMerge w:val="continue"/>
            <w:vAlign w:val="center"/>
          </w:tcPr>
          <w:p w14:paraId="60D7464D">
            <w:pPr>
              <w:widowControl/>
              <w:spacing w:line="360" w:lineRule="exact"/>
              <w:textAlignment w:val="center"/>
              <w:rPr>
                <w:rFonts w:ascii="Times New Roman" w:hAnsi="Times New Roman" w:eastAsia="仿宋_GB2312" w:cs="仿宋_GB2312"/>
                <w:kern w:val="0"/>
                <w:sz w:val="24"/>
                <w:lang w:bidi="ar"/>
              </w:rPr>
            </w:pPr>
          </w:p>
        </w:tc>
      </w:tr>
      <w:tr w14:paraId="2A61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264" w:type="pct"/>
            <w:vAlign w:val="center"/>
          </w:tcPr>
          <w:p w14:paraId="715B43FF">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7</w:t>
            </w:r>
          </w:p>
        </w:tc>
        <w:tc>
          <w:tcPr>
            <w:tcW w:w="417" w:type="pct"/>
            <w:vAlign w:val="center"/>
          </w:tcPr>
          <w:p w14:paraId="33F5A150">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中国</w:t>
            </w:r>
          </w:p>
        </w:tc>
        <w:tc>
          <w:tcPr>
            <w:tcW w:w="283" w:type="pct"/>
            <w:vAlign w:val="center"/>
          </w:tcPr>
          <w:p w14:paraId="442C8BCE">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厦门、广州</w:t>
            </w:r>
          </w:p>
        </w:tc>
        <w:tc>
          <w:tcPr>
            <w:tcW w:w="267" w:type="pct"/>
            <w:vAlign w:val="center"/>
          </w:tcPr>
          <w:p w14:paraId="0833745F">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8月、11月</w:t>
            </w:r>
          </w:p>
        </w:tc>
        <w:tc>
          <w:tcPr>
            <w:tcW w:w="365" w:type="pct"/>
            <w:vAlign w:val="center"/>
          </w:tcPr>
          <w:p w14:paraId="01640597">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2天</w:t>
            </w:r>
          </w:p>
        </w:tc>
        <w:tc>
          <w:tcPr>
            <w:tcW w:w="615" w:type="pct"/>
            <w:vAlign w:val="center"/>
          </w:tcPr>
          <w:p w14:paraId="69E1CAF1">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国际交流/金砖大赛</w:t>
            </w:r>
          </w:p>
        </w:tc>
        <w:tc>
          <w:tcPr>
            <w:tcW w:w="1172" w:type="pct"/>
            <w:vAlign w:val="center"/>
          </w:tcPr>
          <w:p w14:paraId="54BFC70D">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金砖国家、东盟各国来华访问、参加2025金砖国家技能发展与技术创新大赛厦门国际赛、第十一届国际发明展览会·广州国际赛和开展技能发展与技术创新国际交流合作活动</w:t>
            </w:r>
          </w:p>
        </w:tc>
        <w:tc>
          <w:tcPr>
            <w:tcW w:w="1612" w:type="pct"/>
            <w:vAlign w:val="center"/>
          </w:tcPr>
          <w:p w14:paraId="70DEDCFE">
            <w:pPr>
              <w:widowControl/>
              <w:numPr>
                <w:ilvl w:val="0"/>
                <w:numId w:val="1"/>
              </w:numPr>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sz w:val="24"/>
              </w:rPr>
              <w:t>参加厦门国际赛、第十一届国际发明展览会·广州国际赛</w:t>
            </w:r>
          </w:p>
          <w:p w14:paraId="67EECB96">
            <w:pPr>
              <w:widowControl/>
              <w:numPr>
                <w:ilvl w:val="0"/>
                <w:numId w:val="1"/>
              </w:numPr>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探讨合作建设具有国际影响力的专业标准、课程标准、教学资源、教学装备；</w:t>
            </w:r>
          </w:p>
          <w:p w14:paraId="120A38EB">
            <w:pPr>
              <w:widowControl/>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3. 探讨技术创新合作项目；</w:t>
            </w:r>
            <w:r>
              <w:rPr>
                <w:rFonts w:hint="eastAsia" w:ascii="Times New Roman" w:hAnsi="Times New Roman" w:eastAsia="仿宋_GB2312" w:cs="仿宋_GB2312"/>
                <w:kern w:val="0"/>
                <w:sz w:val="24"/>
                <w:lang w:bidi="ar"/>
              </w:rPr>
              <w:br w:type="textWrapping"/>
            </w:r>
            <w:r>
              <w:rPr>
                <w:rFonts w:hint="eastAsia" w:ascii="Times New Roman" w:hAnsi="Times New Roman" w:eastAsia="仿宋_GB2312" w:cs="仿宋_GB2312"/>
                <w:kern w:val="0"/>
                <w:sz w:val="24"/>
                <w:lang w:bidi="ar"/>
              </w:rPr>
              <w:t>4. 探讨国际产教融合项目合作。</w:t>
            </w:r>
          </w:p>
        </w:tc>
      </w:tr>
    </w:tbl>
    <w:p w14:paraId="267CC1B1"/>
    <w:p w14:paraId="0350358C">
      <w:r>
        <w:br w:type="page"/>
      </w:r>
    </w:p>
    <w:p w14:paraId="5E85835E">
      <w:pPr>
        <w:spacing w:line="48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附件3</w:t>
      </w:r>
    </w:p>
    <w:p w14:paraId="23A1A1A1">
      <w:pPr>
        <w:spacing w:line="520" w:lineRule="exact"/>
        <w:jc w:val="center"/>
        <w:rPr>
          <w:rFonts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2025金砖大赛国际赛之未来技能挑战赛竞赛项目及赛项技术平台支持单位、金砖工坊共建单位意向表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2302"/>
        <w:gridCol w:w="2236"/>
        <w:gridCol w:w="2011"/>
      </w:tblGrid>
      <w:tr w14:paraId="64A3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2098" w:type="dxa"/>
            <w:vAlign w:val="center"/>
          </w:tcPr>
          <w:p w14:paraId="023EBEB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申报单位名称</w:t>
            </w:r>
          </w:p>
        </w:tc>
        <w:tc>
          <w:tcPr>
            <w:tcW w:w="7144" w:type="dxa"/>
            <w:gridSpan w:val="3"/>
            <w:vAlign w:val="center"/>
          </w:tcPr>
          <w:p w14:paraId="5573409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54B7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98" w:type="dxa"/>
            <w:vAlign w:val="center"/>
          </w:tcPr>
          <w:p w14:paraId="36A7CC6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申报单位性质</w:t>
            </w:r>
          </w:p>
        </w:tc>
        <w:tc>
          <w:tcPr>
            <w:tcW w:w="7144" w:type="dxa"/>
            <w:gridSpan w:val="3"/>
            <w:vAlign w:val="center"/>
          </w:tcPr>
          <w:p w14:paraId="7DBC89D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□事业单位  □企业</w:t>
            </w:r>
          </w:p>
        </w:tc>
      </w:tr>
      <w:tr w14:paraId="5EB6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Align w:val="center"/>
          </w:tcPr>
          <w:p w14:paraId="717E75C2">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申报单位详细联系地址</w:t>
            </w:r>
          </w:p>
        </w:tc>
        <w:tc>
          <w:tcPr>
            <w:tcW w:w="7144" w:type="dxa"/>
            <w:gridSpan w:val="3"/>
            <w:vAlign w:val="center"/>
          </w:tcPr>
          <w:p w14:paraId="4963316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7A72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8" w:type="dxa"/>
            <w:vAlign w:val="top"/>
          </w:tcPr>
          <w:p w14:paraId="090B4B10">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负责人</w:t>
            </w:r>
          </w:p>
        </w:tc>
        <w:tc>
          <w:tcPr>
            <w:tcW w:w="2526" w:type="dxa"/>
            <w:vAlign w:val="top"/>
          </w:tcPr>
          <w:p w14:paraId="7CBA78D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699D733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职务</w:t>
            </w:r>
          </w:p>
        </w:tc>
        <w:tc>
          <w:tcPr>
            <w:tcW w:w="2203" w:type="dxa"/>
            <w:vAlign w:val="top"/>
          </w:tcPr>
          <w:p w14:paraId="44DCEB0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77F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8" w:type="dxa"/>
            <w:vAlign w:val="top"/>
          </w:tcPr>
          <w:p w14:paraId="41D58F6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联系电话</w:t>
            </w:r>
          </w:p>
        </w:tc>
        <w:tc>
          <w:tcPr>
            <w:tcW w:w="2526" w:type="dxa"/>
            <w:vAlign w:val="top"/>
          </w:tcPr>
          <w:p w14:paraId="763F6DB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6545880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联系邮箱</w:t>
            </w:r>
          </w:p>
        </w:tc>
        <w:tc>
          <w:tcPr>
            <w:tcW w:w="2203" w:type="dxa"/>
            <w:vAlign w:val="top"/>
          </w:tcPr>
          <w:p w14:paraId="78F54784">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51F7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8" w:type="dxa"/>
            <w:vAlign w:val="top"/>
          </w:tcPr>
          <w:p w14:paraId="58180DC2">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联系人</w:t>
            </w:r>
          </w:p>
        </w:tc>
        <w:tc>
          <w:tcPr>
            <w:tcW w:w="2526" w:type="dxa"/>
            <w:vAlign w:val="top"/>
          </w:tcPr>
          <w:p w14:paraId="11D49B5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505318B6">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职务</w:t>
            </w:r>
          </w:p>
        </w:tc>
        <w:tc>
          <w:tcPr>
            <w:tcW w:w="2203" w:type="dxa"/>
            <w:vAlign w:val="top"/>
          </w:tcPr>
          <w:p w14:paraId="3DFF787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5B5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98" w:type="dxa"/>
            <w:vAlign w:val="top"/>
          </w:tcPr>
          <w:p w14:paraId="222AD32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联系电话</w:t>
            </w:r>
          </w:p>
        </w:tc>
        <w:tc>
          <w:tcPr>
            <w:tcW w:w="2526" w:type="dxa"/>
            <w:vAlign w:val="top"/>
          </w:tcPr>
          <w:p w14:paraId="1D0F358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5C7D344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联系邮箱</w:t>
            </w:r>
          </w:p>
        </w:tc>
        <w:tc>
          <w:tcPr>
            <w:tcW w:w="2203" w:type="dxa"/>
            <w:vAlign w:val="top"/>
          </w:tcPr>
          <w:p w14:paraId="49300C5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245D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Align w:val="top"/>
          </w:tcPr>
          <w:p w14:paraId="34B8326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意向申报项目</w:t>
            </w:r>
          </w:p>
          <w:p w14:paraId="60C8A34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（可多选）</w:t>
            </w:r>
          </w:p>
        </w:tc>
        <w:tc>
          <w:tcPr>
            <w:tcW w:w="7144" w:type="dxa"/>
            <w:gridSpan w:val="3"/>
            <w:vAlign w:val="top"/>
          </w:tcPr>
          <w:p w14:paraId="77F6DE4D">
            <w:pPr>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single"/>
                <w:vertAlign w:val="baseline"/>
                <w:lang w:val="en-US" w:eastAsia="zh-CN"/>
              </w:rPr>
            </w:pPr>
            <w:r>
              <w:rPr>
                <w:rFonts w:hint="eastAsia" w:ascii="Times New Roman" w:hAnsi="Times New Roman" w:eastAsia="仿宋_GB2312" w:cs="仿宋_GB2312"/>
                <w:b/>
                <w:bCs w:val="0"/>
                <w:color w:val="000000"/>
                <w:sz w:val="24"/>
                <w:szCs w:val="24"/>
                <w:highlight w:val="none"/>
                <w:vertAlign w:val="baseline"/>
                <w:lang w:val="en-US" w:eastAsia="zh-CN"/>
              </w:rPr>
              <w:t>拟申报国外赛区赛项名称（自拟赛项名称）</w:t>
            </w:r>
            <w:r>
              <w:rPr>
                <w:rFonts w:hint="eastAsia" w:ascii="Times New Roman" w:hAnsi="Times New Roman" w:eastAsia="仿宋_GB2312" w:cs="仿宋_GB2312"/>
                <w:b/>
                <w:bCs w:val="0"/>
                <w:color w:val="000000"/>
                <w:sz w:val="24"/>
                <w:szCs w:val="24"/>
                <w:highlight w:val="none"/>
                <w:u w:val="single"/>
                <w:vertAlign w:val="baseline"/>
                <w:lang w:val="en-US" w:eastAsia="zh-CN"/>
              </w:rPr>
              <w:t xml:space="preserve">            </w:t>
            </w:r>
            <w:r>
              <w:rPr>
                <w:rFonts w:hint="eastAsia" w:ascii="Times New Roman" w:hAnsi="Times New Roman" w:eastAsia="仿宋_GB2312" w:cs="仿宋_GB2312"/>
                <w:b w:val="0"/>
                <w:bCs/>
                <w:color w:val="000000"/>
                <w:sz w:val="24"/>
                <w:szCs w:val="24"/>
                <w:highlight w:val="none"/>
                <w:u w:val="single"/>
                <w:vertAlign w:val="baseline"/>
                <w:lang w:val="en-US" w:eastAsia="zh-CN"/>
              </w:rPr>
              <w:t xml:space="preserve">  </w:t>
            </w:r>
          </w:p>
          <w:p w14:paraId="230362D6">
            <w:pPr>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bCs w:val="0"/>
                <w:color w:val="000000"/>
                <w:sz w:val="24"/>
                <w:szCs w:val="24"/>
                <w:highlight w:val="none"/>
                <w:u w:val="none"/>
                <w:vertAlign w:val="baseline"/>
                <w:lang w:val="en-US" w:eastAsia="zh-CN"/>
              </w:rPr>
              <w:t>拟申报国际赛赛区（可多选）</w:t>
            </w:r>
          </w:p>
          <w:p w14:paraId="38CA70E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东盟国际赛  </w:t>
            </w: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中亚国际赛  </w:t>
            </w: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南非国际赛  </w:t>
            </w:r>
          </w:p>
          <w:p w14:paraId="33485D8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俄罗斯国际赛 </w:t>
            </w: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中东国际赛  </w:t>
            </w:r>
          </w:p>
          <w:p w14:paraId="2910F8C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bCs w:val="0"/>
                <w:color w:val="000000"/>
                <w:sz w:val="24"/>
                <w:szCs w:val="24"/>
                <w:highlight w:val="none"/>
                <w:u w:val="none"/>
                <w:vertAlign w:val="baseline"/>
                <w:lang w:val="en-US" w:eastAsia="zh-CN"/>
              </w:rPr>
              <w:t>3.其他国际赛成果转化项目参与意向（可多选</w:t>
            </w:r>
            <w:r>
              <w:rPr>
                <w:rFonts w:hint="eastAsia" w:ascii="Times New Roman" w:hAnsi="Times New Roman" w:eastAsia="仿宋_GB2312" w:cs="仿宋_GB2312"/>
                <w:b w:val="0"/>
                <w:bCs/>
                <w:color w:val="000000"/>
                <w:sz w:val="24"/>
                <w:szCs w:val="24"/>
                <w:highlight w:val="none"/>
                <w:u w:val="none"/>
                <w:vertAlign w:val="baseline"/>
                <w:lang w:val="en-US" w:eastAsia="zh-CN"/>
              </w:rPr>
              <w:t>）</w:t>
            </w:r>
          </w:p>
          <w:p w14:paraId="0B95968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vertAlign w:val="baseline"/>
                <w:lang w:val="en-US" w:eastAsia="zh-CN"/>
              </w:rPr>
            </w:pPr>
            <w:r>
              <w:rPr>
                <w:rFonts w:hint="eastAsia" w:ascii="Times New Roman" w:hAnsi="Times New Roman" w:eastAsia="仿宋_GB2312" w:cs="仿宋_GB2312"/>
                <w:b w:val="0"/>
                <w:bCs/>
                <w:color w:val="000000"/>
                <w:sz w:val="24"/>
                <w:szCs w:val="24"/>
                <w:highlight w:val="none"/>
                <w:vertAlign w:val="baseline"/>
                <w:lang w:val="en-US" w:eastAsia="zh-CN"/>
              </w:rPr>
              <w:t>□ 技术和技能标准制订</w:t>
            </w:r>
          </w:p>
          <w:p w14:paraId="4AAE3D9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vertAlign w:val="baseline"/>
                <w:lang w:val="en-US" w:eastAsia="zh-CN"/>
              </w:rPr>
            </w:pPr>
            <w:r>
              <w:rPr>
                <w:rFonts w:hint="eastAsia" w:ascii="Times New Roman" w:hAnsi="Times New Roman" w:eastAsia="仿宋_GB2312" w:cs="仿宋_GB2312"/>
                <w:b w:val="0"/>
                <w:bCs/>
                <w:color w:val="000000"/>
                <w:sz w:val="24"/>
                <w:szCs w:val="24"/>
                <w:highlight w:val="none"/>
                <w:vertAlign w:val="baseline"/>
                <w:lang w:val="en-US" w:eastAsia="zh-CN"/>
              </w:rPr>
              <w:t>□ 金砖工坊建设及意向合作国家：</w:t>
            </w:r>
          </w:p>
          <w:p w14:paraId="0D7AE554">
            <w:pPr>
              <w:pStyle w:val="10"/>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巴西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俄罗斯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印度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南非</w:t>
            </w:r>
          </w:p>
          <w:p w14:paraId="08E02664">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200"/>
              <w:jc w:val="left"/>
              <w:textAlignment w:val="auto"/>
              <w:rPr>
                <w:rFonts w:hint="default" w:ascii="Times New Roman" w:hAnsi="Times New Roman" w:eastAsia="仿宋_GB2312" w:cs="仿宋_GB2312"/>
                <w:b w:val="0"/>
                <w:bCs/>
                <w:color w:val="000000"/>
                <w:sz w:val="24"/>
                <w:szCs w:val="24"/>
                <w:highlight w:val="none"/>
                <w:vertAlign w:val="baseline"/>
                <w:lang w:val="en-US" w:eastAsia="zh-CN"/>
              </w:rPr>
            </w:pPr>
            <w:r>
              <w:rPr>
                <w:rFonts w:hint="eastAsia" w:ascii="仿宋_GB2312" w:hAnsi="仿宋_GB2312" w:eastAsia="仿宋_GB2312" w:cs="仿宋_GB2312"/>
                <w:sz w:val="24"/>
                <w:szCs w:val="24"/>
                <w:lang w:val="en-US" w:eastAsia="zh-CN"/>
              </w:rPr>
              <w:sym w:font="Wingdings 2" w:char="00A3"/>
            </w:r>
            <w:r>
              <w:rPr>
                <w:rFonts w:hint="eastAsia" w:ascii="Times New Roman" w:hAnsi="Times New Roman" w:eastAsia="仿宋_GB2312" w:cs="仿宋_GB2312"/>
                <w:sz w:val="24"/>
                <w:szCs w:val="24"/>
                <w:lang w:val="en-US" w:eastAsia="zh-CN"/>
              </w:rPr>
              <w:t xml:space="preserve"> 东盟国家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中东国家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中亚国家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其他：</w:t>
            </w:r>
            <w:r>
              <w:rPr>
                <w:rFonts w:hint="eastAsia" w:ascii="Times New Roman" w:hAnsi="Times New Roman" w:eastAsia="仿宋_GB2312" w:cs="仿宋_GB2312"/>
                <w:b w:val="0"/>
                <w:bCs/>
                <w:color w:val="000000"/>
                <w:sz w:val="24"/>
                <w:szCs w:val="24"/>
                <w:highlight w:val="none"/>
                <w:u w:val="single"/>
                <w:vertAlign w:val="baseline"/>
                <w:lang w:val="en-US" w:eastAsia="zh-CN"/>
              </w:rPr>
              <w:t xml:space="preserve">            </w:t>
            </w:r>
          </w:p>
          <w:p w14:paraId="4DB839A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8"/>
                <w:szCs w:val="28"/>
                <w:highlight w:val="none"/>
                <w:u w:val="single"/>
                <w:vertAlign w:val="baseline"/>
                <w:lang w:val="en-US" w:eastAsia="zh-CN"/>
              </w:rPr>
            </w:pPr>
            <w:r>
              <w:rPr>
                <w:rFonts w:hint="eastAsia" w:ascii="Times New Roman" w:hAnsi="Times New Roman" w:eastAsia="仿宋_GB2312" w:cs="仿宋_GB2312"/>
                <w:b w:val="0"/>
                <w:bCs/>
                <w:color w:val="000000"/>
                <w:sz w:val="24"/>
                <w:szCs w:val="24"/>
                <w:highlight w:val="none"/>
                <w:vertAlign w:val="baseline"/>
                <w:lang w:val="en-US" w:eastAsia="zh-CN"/>
              </w:rPr>
              <w:t>□ 其他</w:t>
            </w:r>
            <w:r>
              <w:rPr>
                <w:rFonts w:hint="eastAsia" w:ascii="Times New Roman" w:hAnsi="Times New Roman" w:eastAsia="仿宋_GB2312" w:cs="仿宋_GB2312"/>
                <w:b w:val="0"/>
                <w:bCs/>
                <w:color w:val="000000"/>
                <w:sz w:val="24"/>
                <w:szCs w:val="24"/>
                <w:highlight w:val="none"/>
                <w:u w:val="single"/>
                <w:vertAlign w:val="baseline"/>
                <w:lang w:val="en-US" w:eastAsia="zh-CN"/>
              </w:rPr>
              <w:t xml:space="preserve">            </w:t>
            </w:r>
          </w:p>
        </w:tc>
      </w:tr>
      <w:tr w14:paraId="26E2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8" w:type="dxa"/>
            <w:vAlign w:val="center"/>
          </w:tcPr>
          <w:p w14:paraId="71F9AE4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申报单位简介</w:t>
            </w:r>
          </w:p>
        </w:tc>
        <w:tc>
          <w:tcPr>
            <w:tcW w:w="7144" w:type="dxa"/>
            <w:gridSpan w:val="3"/>
            <w:vAlign w:val="center"/>
          </w:tcPr>
          <w:p w14:paraId="5FA666D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（500字以内，包括技术和产品+办赛经验简介）</w:t>
            </w:r>
          </w:p>
        </w:tc>
      </w:tr>
      <w:tr w14:paraId="7194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gridSpan w:val="4"/>
            <w:vAlign w:val="center"/>
          </w:tcPr>
          <w:p w14:paraId="1BE9B25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 xml:space="preserve">                                   申报单位（加盖公章）：</w:t>
            </w:r>
          </w:p>
          <w:p w14:paraId="4AADBEF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30"/>
                <w:szCs w:val="30"/>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 xml:space="preserve">                             日    期：</w:t>
            </w:r>
          </w:p>
        </w:tc>
      </w:tr>
      <w:tr w14:paraId="180B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242" w:type="dxa"/>
            <w:gridSpan w:val="4"/>
            <w:vAlign w:val="center"/>
          </w:tcPr>
          <w:p w14:paraId="47493298">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00" w:lineRule="atLeast"/>
              <w:ind w:right="0" w:rightChars="0"/>
              <w:jc w:val="both"/>
              <w:textAlignment w:val="auto"/>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申报要求：1.赛项联合承办单位以从事与赛项相关行业的企事业单位为主，优先推荐历届一带一路暨金砖国家技能发展与技术创新大赛的技术平台支持单位和联合承办院校联合承办各赛区国际赛。2.各赛项联合承办单位需为一带一路暨金砖国家技能发展国际联盟、金砖+国家科技创新联盟成员单位，非成员单位需首先申请加入联盟。3.联合承办单位应熟悉大赛举办流程，具备举办相关赛事的实践经验，能承担相应的经费，并能够提供竞赛设施设备和有力的技术支持。4.联合承办单位应遵守《一带一路暨金砖国家技能发展与技术创新大赛章程》。</w:t>
            </w:r>
          </w:p>
          <w:p w14:paraId="0248756A">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00" w:lineRule="atLeast"/>
              <w:ind w:right="0" w:rightChars="0"/>
              <w:jc w:val="both"/>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sz w:val="20"/>
                <w:szCs w:val="20"/>
                <w:highlight w:val="none"/>
                <w:lang w:val="en-US" w:eastAsia="zh-CN"/>
              </w:rPr>
              <w:t>意向申请单位请于2025年3月31日前填写表格，加盖公章后发送至邮箱</w:t>
            </w:r>
            <w:r>
              <w:rPr>
                <w:rFonts w:hint="default" w:ascii="Times New Roman" w:hAnsi="Times New Roman" w:eastAsia="仿宋_GB2312" w:cs="仿宋_GB2312"/>
                <w:sz w:val="20"/>
                <w:szCs w:val="20"/>
                <w:highlight w:val="none"/>
                <w:lang w:val="en-US" w:eastAsia="zh-CN"/>
              </w:rPr>
              <w:t>bricsskill@126.com</w:t>
            </w:r>
            <w:r>
              <w:rPr>
                <w:rFonts w:hint="eastAsia" w:ascii="Times New Roman" w:hAnsi="Times New Roman" w:eastAsia="仿宋_GB2312" w:cs="仿宋_GB2312"/>
                <w:sz w:val="20"/>
                <w:szCs w:val="20"/>
                <w:highlight w:val="none"/>
                <w:lang w:val="en-US" w:eastAsia="zh-CN"/>
              </w:rPr>
              <w:t>和</w:t>
            </w:r>
            <w:r>
              <w:rPr>
                <w:rFonts w:hint="eastAsia" w:ascii="Times New Roman" w:hAnsi="Times New Roman" w:eastAsia="仿宋_GB2312" w:cs="仿宋_GB2312"/>
                <w:sz w:val="20"/>
                <w:szCs w:val="20"/>
                <w:highlight w:val="none"/>
                <w:u w:val="none"/>
                <w:lang w:val="en-US" w:eastAsia="zh-CN"/>
              </w:rPr>
              <w:fldChar w:fldCharType="begin"/>
            </w:r>
            <w:r>
              <w:rPr>
                <w:rFonts w:hint="eastAsia" w:ascii="Times New Roman" w:hAnsi="Times New Roman" w:eastAsia="仿宋_GB2312" w:cs="仿宋_GB2312"/>
                <w:sz w:val="20"/>
                <w:szCs w:val="20"/>
                <w:highlight w:val="none"/>
                <w:u w:val="none"/>
                <w:lang w:val="en-US" w:eastAsia="zh-CN"/>
              </w:rPr>
              <w:instrText xml:space="preserve"> HYPERLINK "mailto:competition@bricsfuture.org.cn" </w:instrText>
            </w:r>
            <w:r>
              <w:rPr>
                <w:rFonts w:hint="eastAsia" w:ascii="Times New Roman" w:hAnsi="Times New Roman" w:eastAsia="仿宋_GB2312" w:cs="仿宋_GB2312"/>
                <w:sz w:val="20"/>
                <w:szCs w:val="20"/>
                <w:highlight w:val="none"/>
                <w:u w:val="none"/>
                <w:lang w:val="en-US" w:eastAsia="zh-CN"/>
              </w:rPr>
              <w:fldChar w:fldCharType="separate"/>
            </w:r>
            <w:r>
              <w:rPr>
                <w:rStyle w:val="9"/>
                <w:rFonts w:hint="eastAsia" w:ascii="Times New Roman" w:hAnsi="Times New Roman" w:eastAsia="仿宋_GB2312" w:cs="仿宋_GB2312"/>
                <w:sz w:val="20"/>
                <w:szCs w:val="20"/>
                <w:highlight w:val="none"/>
                <w:u w:val="none"/>
                <w:lang w:val="en-US" w:eastAsia="zh-CN"/>
              </w:rPr>
              <w:t>competition@bricsfuture.org.cn</w:t>
            </w:r>
            <w:r>
              <w:rPr>
                <w:rFonts w:hint="eastAsia" w:ascii="Times New Roman" w:hAnsi="Times New Roman" w:eastAsia="仿宋_GB2312" w:cs="仿宋_GB2312"/>
                <w:sz w:val="20"/>
                <w:szCs w:val="20"/>
                <w:highlight w:val="none"/>
                <w:u w:val="none"/>
                <w:lang w:val="en-US" w:eastAsia="zh-CN"/>
              </w:rPr>
              <w:fldChar w:fldCharType="end"/>
            </w:r>
            <w:r>
              <w:rPr>
                <w:rFonts w:hint="eastAsia" w:ascii="Times New Roman" w:hAnsi="Times New Roman" w:eastAsia="仿宋_GB2312" w:cs="仿宋_GB2312"/>
                <w:sz w:val="20"/>
                <w:szCs w:val="20"/>
                <w:highlight w:val="none"/>
                <w:u w:val="none"/>
                <w:lang w:val="en-US" w:eastAsia="zh-CN"/>
              </w:rPr>
              <w:t>，文件及邮件主题命名为“赛项申报+单位名称”。</w:t>
            </w:r>
          </w:p>
        </w:tc>
      </w:tr>
    </w:tbl>
    <w:p w14:paraId="234A68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4E54ADD-0056-4A8D-AB85-45B6A7B58632}"/>
  </w:font>
  <w:font w:name="仿宋_GB2312">
    <w:panose1 w:val="02010609030101010101"/>
    <w:charset w:val="86"/>
    <w:family w:val="modern"/>
    <w:pitch w:val="default"/>
    <w:sig w:usb0="00000001" w:usb1="080E0000" w:usb2="00000000" w:usb3="00000000" w:csb0="00040000" w:csb1="00000000"/>
    <w:embedRegular r:id="rId2" w:fontKey="{38D9EEF7-7AA0-4587-9025-A626358D3E13}"/>
  </w:font>
  <w:font w:name="方正小标宋简体">
    <w:panose1 w:val="02000000000000000000"/>
    <w:charset w:val="86"/>
    <w:family w:val="auto"/>
    <w:pitch w:val="default"/>
    <w:sig w:usb0="00000001" w:usb1="08000000" w:usb2="00000000" w:usb3="00000000" w:csb0="00040000" w:csb1="00000000"/>
    <w:embedRegular r:id="rId3" w:fontKey="{AB69E382-57DB-4D88-853D-5A21CC6109C9}"/>
  </w:font>
  <w:font w:name="方正公文小标宋">
    <w:panose1 w:val="02000500000000000000"/>
    <w:charset w:val="86"/>
    <w:family w:val="auto"/>
    <w:pitch w:val="default"/>
    <w:sig w:usb0="A00002BF" w:usb1="38CF7CFA" w:usb2="00000016" w:usb3="00000000" w:csb0="00040001" w:csb1="00000000"/>
    <w:embedRegular r:id="rId4" w:fontKey="{2FCC029A-E6FE-400F-BB7E-36A8ADA97DB5}"/>
  </w:font>
  <w:font w:name="Wingdings 2">
    <w:panose1 w:val="05020102010507070707"/>
    <w:charset w:val="02"/>
    <w:family w:val="roman"/>
    <w:pitch w:val="default"/>
    <w:sig w:usb0="00000000" w:usb1="00000000" w:usb2="00000000" w:usb3="00000000" w:csb0="80000000" w:csb1="00000000"/>
    <w:embedRegular r:id="rId5" w:fontKey="{75543E5E-37BD-4A1E-908B-84CA8B3E95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90F2"/>
    <w:multiLevelType w:val="singleLevel"/>
    <w:tmpl w:val="875690F2"/>
    <w:lvl w:ilvl="0" w:tentative="0">
      <w:start w:val="1"/>
      <w:numFmt w:val="decimal"/>
      <w:lvlText w:val="%1."/>
      <w:lvlJc w:val="left"/>
      <w:pPr>
        <w:tabs>
          <w:tab w:val="left" w:pos="312"/>
        </w:tabs>
      </w:pPr>
    </w:lvl>
  </w:abstractNum>
  <w:abstractNum w:abstractNumId="1">
    <w:nsid w:val="17A7C492"/>
    <w:multiLevelType w:val="singleLevel"/>
    <w:tmpl w:val="17A7C49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E6D02"/>
    <w:rsid w:val="05727CFF"/>
    <w:rsid w:val="094862CF"/>
    <w:rsid w:val="1E6435D6"/>
    <w:rsid w:val="604E6D02"/>
    <w:rsid w:val="72A2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1935</Words>
  <Characters>1984</Characters>
  <Lines>0</Lines>
  <Paragraphs>0</Paragraphs>
  <TotalTime>0</TotalTime>
  <ScaleCrop>false</ScaleCrop>
  <LinksUpToDate>false</LinksUpToDate>
  <CharactersWithSpaces>2008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2025-02-21T06:20:00Z</dcterms:created>
  <dc:creator>张馨心</dc:creator>
  <cp:lastModifiedBy>毋英凯</cp:lastModifiedBy>
  <dcterms:modified xsi:type="dcterms:W3CDTF">2025-02-22T17:41:50Z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3BE9A0053335405A83820DC00F9E8173_11</vt:lpwstr>
  </property>
  <property fmtid="{D5CDD505-2E9C-101B-9397-08002B2CF9AE}" pid="4" name="KSOTemplateDocerSaveRecord">
    <vt:lpwstr>eyJoZGlkIjoiMzEwNTM5NzYwMDRjMzkwZTVkZjY2ODkwMGIxNGU0OTUiLCJ1c2VySWQiOiIzNzY0MTYyMTcifQ==</vt:lpwstr>
  </property>
</Properties>
</file>